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637"/>
        <w:gridCol w:w="2468"/>
        <w:gridCol w:w="3195"/>
        <w:gridCol w:w="2955"/>
        <w:tblGridChange w:id="0">
          <w:tblGrid>
            <w:gridCol w:w="637"/>
            <w:gridCol w:w="2468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n.maglia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Layout w:type="fixed"/>
        <w:tblLook w:val="0400"/>
      </w:tblPr>
      <w:tblGrid>
        <w:gridCol w:w="637"/>
        <w:gridCol w:w="2468"/>
        <w:gridCol w:w="3195"/>
        <w:gridCol w:w="2955"/>
        <w:tblGridChange w:id="0">
          <w:tblGrid>
            <w:gridCol w:w="637"/>
            <w:gridCol w:w="2468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n.maglia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1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3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8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9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1v33/E1mD7qpnL+iNubkt3Vrw==">CgMxLjA4AHIhMUtBbGgwcy1VTjl1X1JWM0NxTjVRNGFwcWVzN0gzLVlZ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