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Secondaria di 1° Grado</w:t>
        <w:tab/>
        <w:t xml:space="preserve">O Secondaria di 2° Grado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Prima Categoria</w:t>
        <w:tab/>
        <w:t xml:space="preserve">O Seconda Categoria</w:t>
        <w:tab/>
        <w:t xml:space="preserve">O Terza Categoria</w:t>
        <w:tab/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82.83660933660934"/>
        <w:gridCol w:w="1870.7076167076166"/>
        <w:gridCol w:w="2421.7628992628993"/>
        <w:gridCol w:w="2239.846437346437"/>
        <w:gridCol w:w="2239.846437346437"/>
        <w:tblGridChange w:id="0">
          <w:tblGrid>
            <w:gridCol w:w="482.83660933660934"/>
            <w:gridCol w:w="1870.7076167076166"/>
            <w:gridCol w:w="2421.7628992628993"/>
            <w:gridCol w:w="2239.846437346437"/>
            <w:gridCol w:w="2239.846437346437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Specialità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Classe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Nuovi Giochi della Gioventù 2025-2026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701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5C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D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7lBv2RQtaO079/t11kZ560lug==">CgMxLjA4AHIhMW03NUIzTkFQeWNuazdIeWxoNTM5Sk9MWjVxczRoWEJM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